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E" w:rsidRDefault="00F4695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F4695E" w:rsidRPr="007B75CC" w:rsidRDefault="008743F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B75CC">
        <w:rPr>
          <w:rFonts w:ascii="方正小标宋简体" w:eastAsia="方正小标宋简体" w:hAnsi="Times New Roman" w:cs="Times New Roman" w:hint="eastAsia"/>
          <w:sz w:val="44"/>
          <w:szCs w:val="44"/>
        </w:rPr>
        <w:t>浙江省医疗机构心胸外科类和麻醉类医用耗材</w:t>
      </w:r>
    </w:p>
    <w:p w:rsidR="00F4695E" w:rsidRPr="007B75CC" w:rsidRDefault="008743F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B75CC">
        <w:rPr>
          <w:rFonts w:ascii="方正小标宋简体" w:eastAsia="方正小标宋简体" w:hAnsi="Times New Roman" w:cs="Times New Roman" w:hint="eastAsia"/>
          <w:sz w:val="44"/>
          <w:szCs w:val="44"/>
        </w:rPr>
        <w:t>集中采购工作方案</w:t>
      </w:r>
    </w:p>
    <w:p w:rsidR="00F4695E" w:rsidRPr="00A61BA8" w:rsidRDefault="00A61BA8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A61BA8">
        <w:rPr>
          <w:rFonts w:ascii="楷体_GB2312" w:eastAsia="楷体_GB2312" w:hAnsi="Times New Roman" w:cs="Times New Roman" w:hint="eastAsia"/>
          <w:sz w:val="32"/>
          <w:szCs w:val="32"/>
        </w:rPr>
        <w:t>（征求意见稿）</w:t>
      </w:r>
    </w:p>
    <w:p w:rsidR="00A61BA8" w:rsidRPr="00A61BA8" w:rsidRDefault="00A61BA8">
      <w:pPr>
        <w:spacing w:line="56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</w:t>
      </w:r>
      <w:r>
        <w:rPr>
          <w:rFonts w:ascii="Times New Roman" w:eastAsia="仿宋_GB2312" w:hAnsi="Times New Roman" w:cs="Times New Roman"/>
          <w:sz w:val="32"/>
          <w:szCs w:val="32"/>
        </w:rPr>
        <w:t>贯彻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《国务院关于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印发“十三五”深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化医药卫生体制改革规划的通知》（国发〔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精神，规范医用耗材购销秩序，净化流通环境，降低虚高价格，减少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保费用支出，减轻患者医疗费用负担，结合我省实际，制定本方案。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一、工作目标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．在保证质量的前提下，最大限度降低医用耗材价格，减少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保费用支出，减轻患者医疗费用负担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．完善医用耗材集中采购模式，推进医用耗材采购工作的科学化和信息化建设进程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．规范医用耗材购销行为，遏制医用耗材流通领域违规违纪行为，纠正医用耗材购销环节不正之风。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二、基本原则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．公开、公平、公正原则。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．诚实守信和信赖保护原则。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．质量、价格并重原则。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三、实施对象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浙江省境内公立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>
        <w:rPr>
          <w:rFonts w:ascii="Times New Roman" w:eastAsia="仿宋_GB2312" w:hAnsi="Times New Roman" w:cs="Times New Roman"/>
          <w:sz w:val="32"/>
          <w:szCs w:val="32"/>
        </w:rPr>
        <w:t>。鼓励其它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医疗机构</w:t>
      </w:r>
      <w:r>
        <w:rPr>
          <w:rFonts w:ascii="Times New Roman" w:eastAsia="仿宋_GB2312" w:hAnsi="Times New Roman" w:cs="Times New Roman"/>
          <w:sz w:val="32"/>
          <w:szCs w:val="32"/>
        </w:rPr>
        <w:t>自愿参加。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</w:t>
      </w:r>
      <w:r>
        <w:rPr>
          <w:rFonts w:ascii="Times New Roman" w:eastAsia="黑体" w:hAnsi="Times New Roman" w:cs="Times New Roman"/>
          <w:sz w:val="32"/>
          <w:szCs w:val="32"/>
        </w:rPr>
        <w:t>、集中采购范围、</w:t>
      </w:r>
      <w:r>
        <w:rPr>
          <w:rFonts w:ascii="Times New Roman" w:eastAsia="黑体" w:hAnsi="Times New Roman" w:cs="Times New Roman" w:hint="eastAsia"/>
          <w:sz w:val="32"/>
          <w:szCs w:val="32"/>
        </w:rPr>
        <w:t>方式和</w:t>
      </w:r>
      <w:r>
        <w:rPr>
          <w:rFonts w:ascii="Times New Roman" w:eastAsia="黑体" w:hAnsi="Times New Roman" w:cs="Times New Roman"/>
          <w:sz w:val="32"/>
          <w:szCs w:val="32"/>
        </w:rPr>
        <w:t>周期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心胸外科类和麻醉类医用耗材，具体采购目录详见采购文件。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采用公开招标的方式，在质量优先、价格合理、经济技术标合格的基础上，进行商务标的评审。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采购周期为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、投标企业</w:t>
      </w:r>
      <w:r>
        <w:rPr>
          <w:rFonts w:ascii="Times New Roman" w:eastAsia="黑体" w:hAnsi="Times New Roman" w:cs="Times New Roman" w:hint="eastAsia"/>
          <w:sz w:val="32"/>
          <w:szCs w:val="32"/>
        </w:rPr>
        <w:t>及报价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投标企业指国产产品的生产企业（或同集团公司的经营企业）。进口及港澳台产品的全国唯一总代理企业视为投标企业。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．报价为该产品的实际供货价格，其中包含配送企业的配送费用。报价使用货币为人民币（单位：元），保留到小数点后两位。未报价或报价为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的产品视为放弃投标。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评审方法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本次集中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采购分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两个阶段进行评审，第一阶段评审</w:t>
      </w:r>
      <w:r>
        <w:rPr>
          <w:rFonts w:ascii="Times New Roman" w:eastAsia="仿宋_GB2312" w:hAnsi="Times New Roman" w:cs="Times New Roman"/>
          <w:sz w:val="32"/>
          <w:szCs w:val="32"/>
        </w:rPr>
        <w:t>近两年内浙江省有销售记录的产品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，第二阶段评审近两年内浙江省无销售记录的产品。</w:t>
      </w:r>
    </w:p>
    <w:p w:rsidR="00F4695E" w:rsidRDefault="008743FD">
      <w:pPr>
        <w:spacing w:line="560" w:lineRule="exact"/>
        <w:ind w:firstLineChars="196" w:firstLine="63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（一）第一阶段评审方法</w:t>
      </w:r>
    </w:p>
    <w:p w:rsidR="00F4695E" w:rsidRDefault="008743F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．参考价的确定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在近两年内全国历史最低销售价格的基础上，心胸外科类下降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，麻醉类下降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。必要时请专家进行评估，在报价阶段通过浙江省药械采购平台告知投标企业。</w:t>
      </w:r>
    </w:p>
    <w:p w:rsidR="00F4695E" w:rsidRDefault="008743F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．中标原则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报价高于参考价的产品直接淘汰。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不高于参考价的产品，属于限价挂网的产品，列入拟中标目录；属于竞标的产品，按以下三步进行评审：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）客观分评审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客观分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分值表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。客观分评审按得分由高到低进行排名，根据入围名额依次入围。入围名额如下：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1-3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家，不淘汰；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4-6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7-10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11-20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家以上，末位淘汰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）主观分评审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主观分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分值见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。主观分评审按得分由高到低进行排名，根据入围名额依次入围。入围名额如下：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1-2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家，不淘汰；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3-5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6-10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家以上，末位淘汰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）综合评审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取价格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最低的产品入围（仅取这一个产品且不占中标名额）。所有剩余产品，按综合得分由高到低进行排名，根据入围名额依次入围。入围名额如下：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1-2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家，不淘汰；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3-5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6-7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家，末位淘汰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家及以上，入围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家。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综合评审得分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=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（客观分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主观分）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*25%+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降幅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*100*75%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695E" w:rsidRDefault="008743FD">
      <w:pPr>
        <w:spacing w:line="560" w:lineRule="exact"/>
        <w:ind w:firstLineChars="196" w:firstLine="63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（二）第二阶段评审方法</w:t>
      </w:r>
    </w:p>
    <w:p w:rsidR="00F4695E" w:rsidRDefault="008743F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．参考价的确定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根据第一阶段同评审单元内的中标产品最低价与该产品的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历史最低销售价格下</w:t>
      </w:r>
      <w:r>
        <w:rPr>
          <w:rFonts w:ascii="Times New Roman" w:eastAsia="仿宋_GB2312" w:hAnsi="Times New Roman" w:cs="Times New Roman"/>
          <w:sz w:val="32"/>
          <w:szCs w:val="32"/>
        </w:rPr>
        <w:t>降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后取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低值确定。若同评审单元内无中标产品，则提请专家进行论证后确定。</w:t>
      </w:r>
    </w:p>
    <w:p w:rsidR="00F4695E" w:rsidRDefault="008743F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．中标原则</w:t>
      </w:r>
    </w:p>
    <w:p w:rsidR="00F4695E" w:rsidRDefault="008743F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报价高于参考价的产品淘汰，其余产品无论限价挂网产品还是竞标产品，均取所在评审单元相对参考价降幅最大的一个进入拟中标目录。</w:t>
      </w:r>
    </w:p>
    <w:p w:rsidR="00F4695E" w:rsidRDefault="008743FD">
      <w:pPr>
        <w:spacing w:line="560" w:lineRule="exact"/>
        <w:ind w:firstLineChars="196" w:firstLine="63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</w:t>
      </w:r>
      <w:r>
        <w:rPr>
          <w:rFonts w:ascii="楷体" w:eastAsia="楷体" w:hAnsi="楷体" w:cs="Times New Roman"/>
          <w:b/>
          <w:sz w:val="32"/>
          <w:szCs w:val="32"/>
        </w:rPr>
        <w:t>限价价格的制定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组织专家对每个评审单元（产品）制定中标的上限价格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拟中标产品高于此价格的，将进行议价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；议价不成功的，不列入中标范围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4695E" w:rsidRDefault="008743FD">
      <w:pPr>
        <w:spacing w:line="560" w:lineRule="exact"/>
        <w:ind w:firstLineChars="196" w:firstLine="63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/>
          <w:b/>
          <w:sz w:val="32"/>
          <w:szCs w:val="32"/>
        </w:rPr>
        <w:t>（四）中标目录</w:t>
      </w:r>
      <w:r>
        <w:rPr>
          <w:rFonts w:ascii="楷体" w:eastAsia="楷体" w:hAnsi="楷体" w:cs="Times New Roman" w:hint="eastAsia"/>
          <w:b/>
          <w:sz w:val="32"/>
          <w:szCs w:val="32"/>
        </w:rPr>
        <w:t>的</w:t>
      </w:r>
      <w:r>
        <w:rPr>
          <w:rFonts w:ascii="楷体" w:eastAsia="楷体" w:hAnsi="楷体" w:cs="Times New Roman"/>
          <w:b/>
          <w:sz w:val="32"/>
          <w:szCs w:val="32"/>
        </w:rPr>
        <w:t>公示和公布</w:t>
      </w:r>
    </w:p>
    <w:p w:rsidR="00F4695E" w:rsidRDefault="008743F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拟中标目录经公示后，即为中标目录。</w:t>
      </w:r>
      <w:r>
        <w:rPr>
          <w:rFonts w:ascii="Times New Roman" w:eastAsia="仿宋_GB2312" w:hAnsi="Times New Roman" w:cs="Times New Roman"/>
          <w:sz w:val="32"/>
          <w:szCs w:val="32"/>
        </w:rPr>
        <w:t>公示期间如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申投诉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导致拟中标产品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不列入中标范围</w:t>
      </w:r>
      <w:r>
        <w:rPr>
          <w:rFonts w:ascii="Times New Roman" w:eastAsia="仿宋_GB2312" w:hAnsi="Times New Roman" w:cs="Times New Roman"/>
          <w:sz w:val="32"/>
          <w:szCs w:val="32"/>
        </w:rPr>
        <w:t>的，不允许其余未中标产品递补。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七、其他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．建立价格联动机制。定期对全国医用耗材集中采购的中标价格进行梳理，实行价格联动。具体工作按有关规定执行。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如因中标企业原因导致供应不及时或产品质量出现问题的，将暂停中标产品交易资格并列入黑名单。省药械采购中心应不定时对中标产品使用情况进行考核，如发现质量问题的应及时提交主管部门处理，保证临床供应。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．中标产品集中采购监督管理等其他未尽事宜，包括但不限于配送、结算等，按照国家和省有关规定执行。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．本次集中采购工作所有公告、信息，均通过浙江省药械集中采购平台发布。</w:t>
      </w: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．本方案由省医疗保障局负责解释，省药械采购中心负责具体实施。</w:t>
      </w:r>
    </w:p>
    <w:p w:rsidR="00F4695E" w:rsidRPr="003830AB" w:rsidRDefault="00F4695E" w:rsidP="003830AB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4695E" w:rsidRDefault="008743F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客观分分值表</w:t>
      </w:r>
    </w:p>
    <w:p w:rsidR="00F4695E" w:rsidRDefault="008743FD" w:rsidP="003830AB">
      <w:pPr>
        <w:spacing w:line="56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sz w:val="32"/>
          <w:szCs w:val="32"/>
        </w:rPr>
        <w:t>观分分值表</w:t>
      </w:r>
    </w:p>
    <w:p w:rsidR="00F4695E" w:rsidRDefault="00F4695E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830AB" w:rsidRDefault="003830A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695E" w:rsidRDefault="008743F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4695E" w:rsidRDefault="008743FD">
      <w:pPr>
        <w:spacing w:line="56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客观分分值表</w:t>
      </w:r>
    </w:p>
    <w:tbl>
      <w:tblPr>
        <w:tblW w:w="8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3"/>
        <w:gridCol w:w="4809"/>
        <w:gridCol w:w="1104"/>
      </w:tblGrid>
      <w:tr w:rsidR="00F4695E">
        <w:trPr>
          <w:trHeight w:val="624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4809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F4695E">
        <w:trPr>
          <w:trHeight w:val="560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投标企业规模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≥3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 w:val="restart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产品质量层次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FDA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认证的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认证的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 w:val="restart"/>
            <w:vAlign w:val="center"/>
          </w:tcPr>
          <w:p w:rsidR="00F4695E" w:rsidRDefault="008743F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质量检验报告</w:t>
            </w:r>
          </w:p>
          <w:p w:rsidR="00F4695E" w:rsidRDefault="008743F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国家级医疗器械检验机构检测报告（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日后均可，注册检验报告不予认可）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省、自治区、直辖市医疗器械检验机构检测报告（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日后均可，注册检验报告不予认可）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生产企业自检报告（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日后均可）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无上述检验报告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产品覆盖率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4695E" w:rsidRDefault="008743F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每增加一家医疗机构采购记录加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分，最高不超过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技术先进性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国家（科技部）科技进步特等奖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国家（科技部）科技进步一等奖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4695E" w:rsidRDefault="00F4695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09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国家（科技部）科技进步二等奖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</w:tr>
      <w:tr w:rsidR="00F4695E">
        <w:trPr>
          <w:trHeight w:val="454"/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投标人承诺函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由企业提供未受各级食品药品监督管理部门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至今质量无违法违规行政处罚的承诺书，若虚假承诺，将拒绝该企业投标。若中标后被查实的，将取消该企业的中标资格。相应中标名额经专家评审后，在进入第三步综合评审的产品中，以综合得分排名进行递补。若企业未提供或者承认有不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记录则扣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</w:tbl>
    <w:p w:rsidR="00F4695E" w:rsidRDefault="00F4695E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F4695E" w:rsidRDefault="008743F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F4695E" w:rsidRDefault="008743FD">
      <w:pPr>
        <w:spacing w:line="56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主观分分值表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4776"/>
        <w:gridCol w:w="716"/>
      </w:tblGrid>
      <w:tr w:rsidR="00F4695E">
        <w:trPr>
          <w:trHeight w:val="312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477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F4695E">
        <w:trPr>
          <w:trHeight w:val="560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产品质量可靠性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根据临床实际使用情况，认为产品质量可靠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根据临床实际使用情况，认为产品质量一般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根据临床实际使用情况，认为产品质量差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临床使用评价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明显优于其他同类产品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优于其他同类产品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与其他同类产品相当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明显低于其他同类产品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安全性评价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临床安全性优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临床安全性良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临床安全性中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有严重不良反应报告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耗材包装质量与方便性评价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方便性优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包装质量与方便性一般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包装质量与方便性差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品牌认同度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认同度优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认同度良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品牌认同度一般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服务信誉评价</w:t>
            </w:r>
          </w:p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服务信誉优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服务信誉良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服务信誉一般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F4695E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F4695E" w:rsidRDefault="00F4695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服务信誉差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4695E" w:rsidRDefault="008743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F4695E" w:rsidRDefault="00F4695E" w:rsidP="006B04B8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4695E" w:rsidSect="00F4695E">
      <w:footerReference w:type="even" r:id="rId8"/>
      <w:footerReference w:type="default" r:id="rId9"/>
      <w:pgSz w:w="11906" w:h="16838"/>
      <w:pgMar w:top="2041" w:right="1531" w:bottom="2041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C4" w:rsidRDefault="00811EC4" w:rsidP="00F4695E">
      <w:r>
        <w:separator/>
      </w:r>
    </w:p>
  </w:endnote>
  <w:endnote w:type="continuationSeparator" w:id="0">
    <w:p w:rsidR="00811EC4" w:rsidRDefault="00811EC4" w:rsidP="00F4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E" w:rsidRDefault="008743FD">
    <w:pPr>
      <w:pStyle w:val="a4"/>
      <w:framePr w:w="1548" w:wrap="around" w:vAnchor="text" w:hAnchor="margin" w:y="1" w:anchorLock="1"/>
      <w:rPr>
        <w:rStyle w:val="a6"/>
        <w:rFonts w:ascii="宋体"/>
        <w:sz w:val="28"/>
        <w:szCs w:val="28"/>
      </w:rPr>
    </w:pPr>
    <w:r>
      <w:rPr>
        <w:rStyle w:val="a6"/>
        <w:rFonts w:ascii="宋体" w:hint="eastAsia"/>
        <w:sz w:val="28"/>
        <w:szCs w:val="28"/>
      </w:rPr>
      <w:t>－</w:t>
    </w:r>
    <w:r w:rsidR="009F1A84">
      <w:rPr>
        <w:rStyle w:val="a6"/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 w:rsidR="009F1A84">
      <w:rPr>
        <w:rStyle w:val="a6"/>
        <w:rFonts w:ascii="宋体"/>
        <w:sz w:val="28"/>
        <w:szCs w:val="28"/>
      </w:rPr>
      <w:fldChar w:fldCharType="separate"/>
    </w:r>
    <w:r>
      <w:rPr>
        <w:rStyle w:val="a6"/>
        <w:rFonts w:ascii="宋体"/>
        <w:sz w:val="28"/>
        <w:szCs w:val="28"/>
      </w:rPr>
      <w:t>12</w:t>
    </w:r>
    <w:r w:rsidR="009F1A84">
      <w:rPr>
        <w:rStyle w:val="a6"/>
        <w:rFonts w:ascii="宋体"/>
        <w:sz w:val="28"/>
        <w:szCs w:val="28"/>
      </w:rPr>
      <w:fldChar w:fldCharType="end"/>
    </w:r>
    <w:r>
      <w:rPr>
        <w:rStyle w:val="a6"/>
        <w:rFonts w:ascii="宋体" w:hint="eastAsia"/>
        <w:sz w:val="28"/>
        <w:szCs w:val="28"/>
      </w:rPr>
      <w:t>－</w:t>
    </w:r>
  </w:p>
  <w:p w:rsidR="00F4695E" w:rsidRDefault="00F469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E" w:rsidRDefault="009F1A84">
    <w:pPr>
      <w:pStyle w:val="a4"/>
      <w:jc w:val="center"/>
    </w:pPr>
    <w:r>
      <w:fldChar w:fldCharType="begin"/>
    </w:r>
    <w:r w:rsidR="008743FD">
      <w:instrText>PAGE   \* MERGEFORMAT</w:instrText>
    </w:r>
    <w:r>
      <w:fldChar w:fldCharType="separate"/>
    </w:r>
    <w:r w:rsidR="003830AB" w:rsidRPr="003830AB">
      <w:rPr>
        <w:noProof/>
        <w:lang w:val="zh-CN"/>
      </w:rPr>
      <w:t>7</w:t>
    </w:r>
    <w:r>
      <w:fldChar w:fldCharType="end"/>
    </w:r>
  </w:p>
  <w:p w:rsidR="00F4695E" w:rsidRDefault="00F4695E">
    <w:pPr>
      <w:pStyle w:val="a4"/>
      <w:jc w:val="right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C4" w:rsidRDefault="00811EC4" w:rsidP="00F4695E">
      <w:r>
        <w:separator/>
      </w:r>
    </w:p>
  </w:footnote>
  <w:footnote w:type="continuationSeparator" w:id="0">
    <w:p w:rsidR="00811EC4" w:rsidRDefault="00811EC4" w:rsidP="00F46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95E"/>
    <w:rsid w:val="003830AB"/>
    <w:rsid w:val="00462D02"/>
    <w:rsid w:val="00681D03"/>
    <w:rsid w:val="006B04B8"/>
    <w:rsid w:val="007B75CC"/>
    <w:rsid w:val="00811EC4"/>
    <w:rsid w:val="008743FD"/>
    <w:rsid w:val="009F1A84"/>
    <w:rsid w:val="00A61BA8"/>
    <w:rsid w:val="00F4695E"/>
    <w:rsid w:val="07450806"/>
    <w:rsid w:val="0C4B5AAF"/>
    <w:rsid w:val="0E457856"/>
    <w:rsid w:val="0F751008"/>
    <w:rsid w:val="106947CF"/>
    <w:rsid w:val="20A16795"/>
    <w:rsid w:val="242A3D3D"/>
    <w:rsid w:val="2A984999"/>
    <w:rsid w:val="42786167"/>
    <w:rsid w:val="45FA48C0"/>
    <w:rsid w:val="46BB1BB2"/>
    <w:rsid w:val="4A3B6BAB"/>
    <w:rsid w:val="52AC39D7"/>
    <w:rsid w:val="561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4695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4695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4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4695E"/>
  </w:style>
  <w:style w:type="character" w:customStyle="1" w:styleId="Char0">
    <w:name w:val="页脚 Char"/>
    <w:basedOn w:val="a0"/>
    <w:link w:val="a4"/>
    <w:uiPriority w:val="99"/>
    <w:qFormat/>
    <w:rsid w:val="00F4695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4695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469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F46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B4617-D533-4C23-8EF2-B73A3D17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王炳南</cp:lastModifiedBy>
  <cp:revision>8</cp:revision>
  <cp:lastPrinted>2019-03-12T02:57:00Z</cp:lastPrinted>
  <dcterms:created xsi:type="dcterms:W3CDTF">2018-12-19T08:57:00Z</dcterms:created>
  <dcterms:modified xsi:type="dcterms:W3CDTF">2019-03-12T03:23:00Z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